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RONPA0570ZPB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Teiva-Vișina</w:t>
      </w:r>
      <w:r w:rsidDel="00000000" w:rsidR="00000000" w:rsidRPr="00000000">
        <w:rPr>
          <w:rtl w:val="0"/>
        </w:rPr>
      </w:r>
    </w:p>
    <w:p w:rsidR="00000000" w:rsidDel="00000000" w:rsidP="00000000" w:rsidRDefault="00000000" w:rsidRPr="00000000" w14:paraId="0000000A">
      <w:pPr>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F">
            <w:pPr>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b w:val="1"/>
                <w:bCs w:val="1"/>
                <w:sz w:val="22"/>
                <w:szCs w:val="22"/>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25,55</w:t>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100,00%</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spacing w:after="0" w:lineRule="auto"/>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4">
            <w:pPr>
              <w:spacing w:after="0" w:lineRule="auto"/>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Iași</w:t>
      </w: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9">
      <w:pPr>
        <w:rPr>
          <w:b w:val="1"/>
          <w:bCs w:val="1"/>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E">
      <w:pPr>
        <w:rPr>
          <w:b w:val="1"/>
          <w:bCs w:val="1"/>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25,55</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 Rezervația naturală RONPA0570 Teiva – Vișina;</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ulterioare;</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Decizia președintelui ANMAP nr. 3003/04.11.2025 privind aprobarea Planului de management al ariei de protecție specială avifaunistică ROSPA0042 Eleșteele Jijiei și Miletinului, al sitului de importanță comunitară ROSCI0222 Sărăturile Jijia Inferioară-Prut și al Rezervației Naturale 2.553 Balta Teiva Vișina.</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694"/>
        <w:gridCol w:w="6306"/>
        <w:tblGridChange w:id="0">
          <w:tblGrid>
            <w:gridCol w:w="2694"/>
            <w:gridCol w:w="63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sz w:val="22"/>
                <w:szCs w:val="22"/>
                <w:rtl w:val="0"/>
              </w:rPr>
              <w:t xml:space="preserve">Habitate de mlaștini și pajiști sărăturate atlantice și continentale</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1310 Comunități cu Salicornia și alte specii anuale care colonizează terenurile umede și nisipoase</w:t>
            </w:r>
          </w:p>
          <w:p w:rsidR="00000000" w:rsidDel="00000000" w:rsidP="00000000" w:rsidRDefault="00000000" w:rsidRPr="00000000" w14:paraId="0000007F">
            <w:pPr>
              <w:spacing w:after="0" w:lineRule="auto"/>
              <w:jc w:val="both"/>
              <w:rPr>
                <w:b w:val="1"/>
                <w:bCs w:val="1"/>
                <w:sz w:val="22"/>
                <w:szCs w:val="22"/>
              </w:rPr>
            </w:pPr>
            <w:r w:rsidDel="00000000" w:rsidR="00000000" w:rsidRPr="00000000">
              <w:rPr>
                <w:b w:val="1"/>
                <w:bCs w:val="1"/>
                <w:sz w:val="22"/>
                <w:szCs w:val="22"/>
                <w:rtl w:val="0"/>
              </w:rPr>
              <w:t xml:space="preserve">Habitate de stepe continentale pe substrate bogate în sărături și gips</w:t>
            </w:r>
          </w:p>
          <w:p w:rsidR="00000000" w:rsidDel="00000000" w:rsidP="00000000" w:rsidRDefault="00000000" w:rsidRPr="00000000" w14:paraId="00000080">
            <w:pPr>
              <w:spacing w:after="0" w:lineRule="auto"/>
              <w:jc w:val="both"/>
              <w:rPr>
                <w:i w:val="1"/>
                <w:iCs w:val="1"/>
              </w:rPr>
            </w:pPr>
            <w:r w:rsidDel="00000000" w:rsidR="00000000" w:rsidRPr="00000000">
              <w:rPr>
                <w:i w:val="1"/>
                <w:iCs w:val="1"/>
                <w:sz w:val="22"/>
                <w:szCs w:val="22"/>
                <w:rtl w:val="0"/>
              </w:rPr>
              <w:t xml:space="preserve">1530* Pajiști și mlaștini halofile panonice și ponto-sarmatice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A042 Anser erythropus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A084 Circus pygargus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A131 Himantopus himantopus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A132 Recurvirostra avosetta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A140 Pluvialis apricaria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A154 Gallinago media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A166 Tringa glareola</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A230 Merops apiaster</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A232 Upupa epops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A773 Ardea alba</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A861 Calidris pugnax</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Aquila pomarina</w:t>
            </w:r>
          </w:p>
          <w:p w:rsidR="00000000" w:rsidDel="00000000" w:rsidP="00000000" w:rsidRDefault="00000000" w:rsidRPr="00000000" w14:paraId="00000099">
            <w:pPr>
              <w:spacing w:after="0" w:lineRule="auto"/>
              <w:rPr>
                <w:i w:val="1"/>
                <w:iCs w:val="1"/>
              </w:rPr>
            </w:pPr>
            <w:r w:rsidDel="00000000" w:rsidR="00000000" w:rsidRPr="00000000">
              <w:rPr>
                <w:i w:val="1"/>
                <w:iCs w:val="1"/>
                <w:sz w:val="22"/>
                <w:szCs w:val="22"/>
                <w:rtl w:val="0"/>
              </w:rPr>
              <w:t xml:space="preserve">Microcarbo pygmeus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9C">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9D">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Rule="auto"/>
              <w:jc w:val="both"/>
              <w:rPr>
                <w:sz w:val="22"/>
                <w:szCs w:val="22"/>
              </w:rPr>
            </w:pPr>
            <w:r w:rsidDel="00000000" w:rsidR="00000000" w:rsidRPr="00000000">
              <w:rPr>
                <w:sz w:val="22"/>
                <w:szCs w:val="22"/>
                <w:rtl w:val="0"/>
              </w:rPr>
              <w:t xml:space="preserve">A02.03 Înlocuirea pășunii cu terenuri arabile</w:t>
            </w:r>
          </w:p>
          <w:p w:rsidR="00000000" w:rsidDel="00000000" w:rsidP="00000000" w:rsidRDefault="00000000" w:rsidRPr="00000000" w14:paraId="000000A0">
            <w:pPr>
              <w:spacing w:after="0" w:lineRule="auto"/>
              <w:jc w:val="both"/>
              <w:rPr>
                <w:sz w:val="22"/>
                <w:szCs w:val="22"/>
              </w:rPr>
            </w:pPr>
            <w:r w:rsidDel="00000000" w:rsidR="00000000" w:rsidRPr="00000000">
              <w:rPr>
                <w:sz w:val="22"/>
                <w:szCs w:val="22"/>
                <w:rtl w:val="0"/>
              </w:rPr>
              <w:t xml:space="preserve">A04.01.05 Pășunatul intensiv în amestec de animale</w:t>
            </w:r>
          </w:p>
          <w:p w:rsidR="00000000" w:rsidDel="00000000" w:rsidP="00000000" w:rsidRDefault="00000000" w:rsidRPr="00000000" w14:paraId="000000A1">
            <w:pPr>
              <w:spacing w:after="0" w:lineRule="auto"/>
              <w:jc w:val="both"/>
              <w:rPr/>
            </w:pPr>
            <w:r w:rsidDel="00000000" w:rsidR="00000000" w:rsidRPr="00000000">
              <w:rPr>
                <w:sz w:val="22"/>
                <w:szCs w:val="22"/>
                <w:rtl w:val="0"/>
              </w:rPr>
              <w:t xml:space="preserve">M01.02 Secete și precipitații reduce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highlight w:val="yellow"/>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line="240" w:lineRule="auto"/>
              <w:jc w:val="both"/>
              <w:rPr>
                <w:b w:val="1"/>
                <w:bCs w:val="1"/>
                <w:sz w:val="22"/>
                <w:szCs w:val="22"/>
              </w:rPr>
            </w:pPr>
            <w:r w:rsidDel="00000000" w:rsidR="00000000" w:rsidRPr="00000000">
              <w:rPr>
                <w:b w:val="1"/>
                <w:bCs w:val="1"/>
                <w:sz w:val="22"/>
                <w:szCs w:val="22"/>
                <w:rtl w:val="0"/>
              </w:rPr>
              <w:t xml:space="preserve">Obiective și măsuri de conservare pentru pajiști halofile în regim de management activ</w:t>
            </w:r>
          </w:p>
          <w:p w:rsidR="00000000" w:rsidDel="00000000" w:rsidP="00000000" w:rsidRDefault="00000000" w:rsidRPr="00000000" w14:paraId="000000A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2. Conservarea compoziției floristice caracteristice habitatelor saline și a faunei asociate.</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3. Menținerea regimului hidrologic și a chimismului solului specifice habitatelor halofile.</w:t>
            </w:r>
          </w:p>
          <w:p w:rsidR="00000000" w:rsidDel="00000000" w:rsidP="00000000" w:rsidRDefault="00000000" w:rsidRPr="00000000" w14:paraId="000000A8">
            <w:pPr>
              <w:spacing w:line="240" w:lineRule="auto"/>
              <w:jc w:val="both"/>
              <w:rPr>
                <w:b w:val="1"/>
                <w:bCs w:val="1"/>
                <w:sz w:val="22"/>
                <w:szCs w:val="22"/>
              </w:rPr>
            </w:pPr>
            <w:r w:rsidDel="00000000" w:rsidR="00000000" w:rsidRPr="00000000">
              <w:rPr>
                <w:b w:val="1"/>
                <w:bCs w:val="1"/>
                <w:sz w:val="22"/>
                <w:szCs w:val="22"/>
                <w:rtl w:val="0"/>
              </w:rPr>
              <w:t xml:space="preserve">Măsuri:</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1. Menținerea categoriei de folosință și interzicerea conversiei în arabil sau alte folosințe.</w:t>
            </w:r>
          </w:p>
          <w:p w:rsidR="00000000" w:rsidDel="00000000" w:rsidP="00000000" w:rsidRDefault="00000000" w:rsidRPr="00000000" w14:paraId="000000AA">
            <w:pPr>
              <w:spacing w:line="240" w:lineRule="auto"/>
              <w:jc w:val="both"/>
              <w:rPr>
                <w:sz w:val="22"/>
                <w:szCs w:val="22"/>
              </w:rPr>
            </w:pPr>
            <w:r w:rsidDel="00000000" w:rsidR="00000000" w:rsidRPr="00000000">
              <w:rPr>
                <w:sz w:val="22"/>
                <w:szCs w:val="22"/>
                <w:rtl w:val="0"/>
              </w:rPr>
              <w:t xml:space="preserve">2. Continuarea utilizării tradiționale prin pășunat extensiv, cu încărcătură redusă.</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3. Interzicerea desecărilor și a lucrărilor hidrotehnice care ar modifica regimul hidrologic local.</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5. Interzicerea arderii vegetației.</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6. Interzicerea depozitării deșeurilor și a construcțiilor pe suprafața habitatului.</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7. Controlul speciilor invazive prin metode mecanice.</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B3">
      <w:pPr>
        <w:rPr>
          <w:b w:val="1"/>
          <w:bCs w:val="1"/>
          <w:sz w:val="22"/>
          <w:szCs w:val="22"/>
        </w:rPr>
      </w:pPr>
      <w:r w:rsidDel="00000000" w:rsidR="00000000" w:rsidRPr="00000000">
        <w:rPr>
          <w:rtl w:val="0"/>
        </w:rPr>
      </w:r>
    </w:p>
    <w:p w:rsidR="00000000" w:rsidDel="00000000" w:rsidP="00000000" w:rsidRDefault="00000000" w:rsidRPr="00000000" w14:paraId="000000B4">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Paucă–Comănescu M., Mihăilescu, S., Biriș, I.-A. (2005-2006). Habitatele din România, București: Editura Tehnică Silvică.</w:t>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coord. (2008). Manual de interpretare a habitatelor Natura 2000 din România, Cluj-Napoca: Editura Risoprint</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Ornitodata - Baza de date online a Societății Ornitologice Române, 2024</w:t>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24 martie 2025 – Iași.</w:t>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reprezentanților unităților administrativ-teritoriale, ai prefecturilor și/sau ai altor instituții relevante, după caz. </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5">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HyG8qpiSvNAAH4xJYRMHLj74TQ==">CgMxLjA4AHIhMXNYb2FSWl8zSFA3cTViLW5HWFAzNUxfdVNUNHluM2tD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